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A3" w:rsidRDefault="00D905A3" w:rsidP="0034319B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hAnsi="Arial" w:cs="Arial"/>
          <w:b/>
          <w:color w:val="666666"/>
          <w:sz w:val="28"/>
          <w:szCs w:val="28"/>
        </w:rPr>
      </w:pPr>
      <w:r w:rsidRPr="003159F1">
        <w:rPr>
          <w:rFonts w:ascii="Arial" w:hAnsi="Arial" w:cs="Arial"/>
          <w:b/>
          <w:color w:val="666666"/>
          <w:sz w:val="28"/>
          <w:szCs w:val="28"/>
        </w:rPr>
        <w:t xml:space="preserve">ISTRUZIONI  PER  ACCONTO    IMU    ANNO  </w:t>
      </w:r>
      <w:r w:rsidR="00A62A0B">
        <w:rPr>
          <w:rFonts w:ascii="Arial" w:hAnsi="Arial" w:cs="Arial"/>
          <w:b/>
          <w:color w:val="666666"/>
          <w:sz w:val="28"/>
          <w:szCs w:val="28"/>
        </w:rPr>
        <w:t>2013</w:t>
      </w:r>
    </w:p>
    <w:p w:rsidR="00A62A0B" w:rsidRDefault="00A62A0B" w:rsidP="0034319B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hAnsi="Arial" w:cs="Arial"/>
          <w:b/>
          <w:color w:val="666666"/>
          <w:sz w:val="28"/>
          <w:szCs w:val="28"/>
        </w:rPr>
      </w:pPr>
    </w:p>
    <w:p w:rsidR="00A62A0B" w:rsidRDefault="00A62A0B" w:rsidP="00A62A0B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>In  base  a  quanto  precisato  nella  Circolare  29/04/2013 n. 1/DF Ministero  dell’Economia e delle Finanze per  il  pagamento  della  prima  rata, i  soggetti  passivi  calcolano  l’imposta nella  misura  pari  al 50 per  cento di  quella  dovuta sulla  base  dell’aliquota  e  della  de</w:t>
      </w:r>
      <w:r w:rsidR="00A77BD4">
        <w:rPr>
          <w:rFonts w:ascii="Arial" w:hAnsi="Arial" w:cs="Arial"/>
          <w:b/>
          <w:color w:val="666666"/>
          <w:sz w:val="28"/>
          <w:szCs w:val="28"/>
        </w:rPr>
        <w:t>t</w:t>
      </w:r>
      <w:r>
        <w:rPr>
          <w:rFonts w:ascii="Arial" w:hAnsi="Arial" w:cs="Arial"/>
          <w:b/>
          <w:color w:val="666666"/>
          <w:sz w:val="28"/>
          <w:szCs w:val="28"/>
        </w:rPr>
        <w:t>raz</w:t>
      </w:r>
      <w:r w:rsidR="00A77BD4">
        <w:rPr>
          <w:rFonts w:ascii="Arial" w:hAnsi="Arial" w:cs="Arial"/>
          <w:b/>
          <w:color w:val="666666"/>
          <w:sz w:val="28"/>
          <w:szCs w:val="28"/>
        </w:rPr>
        <w:t>i</w:t>
      </w:r>
      <w:r>
        <w:rPr>
          <w:rFonts w:ascii="Arial" w:hAnsi="Arial" w:cs="Arial"/>
          <w:b/>
          <w:color w:val="666666"/>
          <w:sz w:val="28"/>
          <w:szCs w:val="28"/>
        </w:rPr>
        <w:t>one  dei  dodici mesi  dell’anno precedente.</w:t>
      </w:r>
    </w:p>
    <w:p w:rsidR="0008064C" w:rsidRPr="004350C0" w:rsidRDefault="0008064C" w:rsidP="004350C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666666"/>
          <w:sz w:val="28"/>
          <w:szCs w:val="28"/>
        </w:rPr>
      </w:pPr>
      <w:r w:rsidRPr="004350C0">
        <w:rPr>
          <w:rFonts w:ascii="Arial" w:hAnsi="Arial" w:cs="Arial"/>
          <w:b/>
          <w:color w:val="666666"/>
          <w:sz w:val="28"/>
          <w:szCs w:val="28"/>
        </w:rPr>
        <w:t xml:space="preserve">Il Decreto Legge </w:t>
      </w:r>
      <w:r w:rsidR="009743C8" w:rsidRPr="004350C0">
        <w:rPr>
          <w:rFonts w:ascii="Arial" w:hAnsi="Arial" w:cs="Arial"/>
          <w:b/>
          <w:color w:val="666666"/>
          <w:sz w:val="28"/>
          <w:szCs w:val="28"/>
        </w:rPr>
        <w:t xml:space="preserve">n. 54  del 21/05/2013 </w:t>
      </w:r>
      <w:r w:rsidRPr="004350C0">
        <w:rPr>
          <w:rFonts w:ascii="Arial" w:hAnsi="Arial" w:cs="Arial"/>
          <w:b/>
          <w:color w:val="666666"/>
          <w:sz w:val="28"/>
          <w:szCs w:val="28"/>
        </w:rPr>
        <w:t>approvato dal Consiglio dei Ministri ha disposto  la sospensione del pagamento dell’IMU per quanto riguarda la rata in scadenza il 17 giugno per le seguenti categorie di immobili:</w:t>
      </w:r>
    </w:p>
    <w:p w:rsidR="0008064C" w:rsidRPr="004350C0" w:rsidRDefault="0008064C" w:rsidP="004350C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color w:val="666666"/>
          <w:sz w:val="28"/>
          <w:szCs w:val="28"/>
        </w:rPr>
      </w:pPr>
      <w:r w:rsidRPr="004350C0">
        <w:rPr>
          <w:rFonts w:ascii="Arial" w:hAnsi="Arial" w:cs="Arial"/>
          <w:b/>
          <w:color w:val="666666"/>
          <w:sz w:val="28"/>
          <w:szCs w:val="28"/>
        </w:rPr>
        <w:t>Abitazione principale e relative pertinenze, esclusi i fabbricati classificati nelle categorie catastali A/1, A/8, A9;</w:t>
      </w:r>
    </w:p>
    <w:p w:rsidR="0008064C" w:rsidRPr="004350C0" w:rsidRDefault="0008064C" w:rsidP="004350C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color w:val="666666"/>
          <w:sz w:val="28"/>
          <w:szCs w:val="28"/>
        </w:rPr>
      </w:pPr>
      <w:r w:rsidRPr="004350C0">
        <w:rPr>
          <w:rFonts w:ascii="Arial" w:hAnsi="Arial" w:cs="Arial"/>
          <w:b/>
          <w:color w:val="666666"/>
          <w:sz w:val="28"/>
          <w:szCs w:val="28"/>
        </w:rPr>
        <w:t>Unità immobiliari appartenenti alle cooperative edilizie a proprietà indivisa, adibite ad abitazione principale e relative pertinenze dei soci assegnatari, nonché alloggi regolarmente assegnati dagli Istituti autonomi per le case popolari (IACP) o dagli enti di edilizia residenziale pubblica, comunque denominati, aventi le stesse finalità degli IACP, istituti in attuazione dell’art. 93 del decreto del Presidente della Repubblica 24 luglio 1977, n. 616;</w:t>
      </w:r>
    </w:p>
    <w:p w:rsidR="0008064C" w:rsidRPr="004350C0" w:rsidRDefault="0008064C" w:rsidP="004350C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b/>
          <w:color w:val="666666"/>
          <w:sz w:val="28"/>
          <w:szCs w:val="28"/>
        </w:rPr>
      </w:pPr>
      <w:r w:rsidRPr="004350C0">
        <w:rPr>
          <w:rFonts w:ascii="Arial" w:hAnsi="Arial" w:cs="Arial"/>
          <w:b/>
          <w:color w:val="666666"/>
          <w:sz w:val="28"/>
          <w:szCs w:val="28"/>
        </w:rPr>
        <w:t>Terreni agricoli e fabbricati rurali di cui all’art. 13, commi 4,5, e 8 del decreto legge 6 dicembre 2011, n. 201, convertito con modificazioni dalla legge 22 dicembre 2011, n. 214 e ss.mm</w:t>
      </w:r>
    </w:p>
    <w:p w:rsidR="0008064C" w:rsidRPr="004350C0" w:rsidRDefault="0008064C" w:rsidP="0008064C">
      <w:pPr>
        <w:spacing w:before="100" w:beforeAutospacing="1" w:after="100" w:afterAutospacing="1"/>
        <w:rPr>
          <w:rFonts w:ascii="Arial" w:hAnsi="Arial" w:cs="Arial"/>
          <w:b/>
          <w:color w:val="666666"/>
          <w:sz w:val="28"/>
          <w:szCs w:val="28"/>
        </w:rPr>
      </w:pPr>
      <w:r w:rsidRPr="004350C0">
        <w:rPr>
          <w:rFonts w:ascii="Arial" w:hAnsi="Arial" w:cs="Arial"/>
          <w:b/>
          <w:color w:val="666666"/>
          <w:sz w:val="28"/>
          <w:szCs w:val="28"/>
        </w:rPr>
        <w:t> </w:t>
      </w:r>
    </w:p>
    <w:p w:rsidR="0008064C" w:rsidRPr="004350C0" w:rsidRDefault="0008064C" w:rsidP="004350C0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666666"/>
          <w:sz w:val="28"/>
          <w:szCs w:val="28"/>
        </w:rPr>
      </w:pPr>
      <w:r w:rsidRPr="004350C0">
        <w:rPr>
          <w:rFonts w:ascii="Arial" w:hAnsi="Arial" w:cs="Arial"/>
          <w:b/>
          <w:color w:val="666666"/>
          <w:sz w:val="28"/>
          <w:szCs w:val="28"/>
        </w:rPr>
        <w:t>Per tali fattispecie dunque non dovrà essere versata l’imposta in acconto. E’ tuttavia previsto che, qualora non sia varata la riforma dell’IMU entro il mese di agosto, i contribuenti che non versano l’IMU a giugno dovranno corrisponderla entro il 16 di settembre.</w:t>
      </w:r>
    </w:p>
    <w:p w:rsidR="004350C0" w:rsidRDefault="004350C0" w:rsidP="004350C0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08064C" w:rsidRDefault="00FC703E" w:rsidP="004350C0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lastRenderedPageBreak/>
        <w:t>Con l’art. 1 comma 380 della legge 24/12/2012 n. 228 (legge stabilità per l’anno 2013), è soppressa la riserva allo Stato della quota d’imposta: da ciò deriva che non è più dovuta dallo Stato la quota pari al 50% dell’imposta, che viene invece destinata ai Comuni con unico codice tributo (3918).</w:t>
      </w:r>
    </w:p>
    <w:p w:rsidR="00FC703E" w:rsidRDefault="00FC703E" w:rsidP="004350C0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>Lo stesso articolo riserva allo Stato, per l’anno 2013, il gettito IMU derivante dagli immobili a uso produttivo, classificati nella categoria D, calcolato ad aliquota standard dell</w:t>
      </w:r>
      <w:r w:rsidR="004350C0">
        <w:rPr>
          <w:rFonts w:ascii="Arial" w:hAnsi="Arial" w:cs="Arial"/>
          <w:b/>
          <w:color w:val="666666"/>
          <w:sz w:val="28"/>
          <w:szCs w:val="28"/>
        </w:rPr>
        <w:t>o 0,76%. Al Comune dovrà invece essere versata l’eventuale differenza tra l’aliquota deliberata e quella statale.</w:t>
      </w:r>
    </w:p>
    <w:p w:rsidR="004350C0" w:rsidRDefault="004350C0" w:rsidP="004350C0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>Per il versamento dell’imposta del gruppo catastale D, si dovranno utilizzare i nuovi codici tributo appositamente istituiti: 3925 Stato e 3930 Comune.</w:t>
      </w:r>
    </w:p>
    <w:p w:rsidR="00CB0A00" w:rsidRDefault="00CB0A00" w:rsidP="004350C0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9743C8" w:rsidRPr="00CB0A00" w:rsidRDefault="009743C8" w:rsidP="00A62A0B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  <w:b/>
          <w:color w:val="666666"/>
          <w:sz w:val="28"/>
          <w:szCs w:val="28"/>
        </w:rPr>
      </w:pPr>
    </w:p>
    <w:p w:rsidR="00A62A0B" w:rsidRPr="00CB0A00" w:rsidRDefault="00A62A0B" w:rsidP="00A62A0B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B0A00">
        <w:rPr>
          <w:rFonts w:ascii="Arial" w:hAnsi="Arial" w:cs="Arial"/>
          <w:b/>
          <w:caps/>
          <w:sz w:val="28"/>
          <w:szCs w:val="28"/>
          <w:u w:val="single"/>
        </w:rPr>
        <w:t>Aliquote</w:t>
      </w:r>
      <w:r w:rsidRPr="00CB0A00">
        <w:rPr>
          <w:rFonts w:ascii="Arial" w:hAnsi="Arial" w:cs="Arial"/>
          <w:b/>
          <w:sz w:val="28"/>
          <w:szCs w:val="28"/>
          <w:u w:val="single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"/>
        <w:gridCol w:w="8835"/>
      </w:tblGrid>
      <w:tr w:rsidR="00A62A0B" w:rsidRPr="004C6F2A" w:rsidTr="00A62A0B">
        <w:tc>
          <w:tcPr>
            <w:tcW w:w="517" w:type="pct"/>
            <w:tcBorders>
              <w:right w:val="nil"/>
            </w:tcBorders>
          </w:tcPr>
          <w:p w:rsidR="00A62A0B" w:rsidRPr="004C6F2A" w:rsidRDefault="00A62A0B" w:rsidP="00A62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b/>
                <w:sz w:val="20"/>
                <w:szCs w:val="20"/>
              </w:rPr>
              <w:t>0,40%</w:t>
            </w:r>
          </w:p>
        </w:tc>
        <w:tc>
          <w:tcPr>
            <w:tcW w:w="4483" w:type="pct"/>
            <w:tcBorders>
              <w:left w:val="nil"/>
            </w:tcBorders>
          </w:tcPr>
          <w:p w:rsidR="00A62A0B" w:rsidRPr="004C6F2A" w:rsidRDefault="00A62A0B" w:rsidP="00A62A0B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per le unità immobiliari adibite ad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abitazione principale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del contribuente e per le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relative pertinenze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una sola per ogni categoria catastale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C2, C6, C7)</w:t>
            </w:r>
          </w:p>
        </w:tc>
      </w:tr>
    </w:tbl>
    <w:p w:rsidR="00A62A0B" w:rsidRPr="004C6F2A" w:rsidRDefault="00A62A0B" w:rsidP="00A62A0B">
      <w:pPr>
        <w:ind w:left="-77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"/>
        <w:gridCol w:w="8835"/>
      </w:tblGrid>
      <w:tr w:rsidR="00A62A0B" w:rsidRPr="004C6F2A" w:rsidTr="00A62A0B">
        <w:tc>
          <w:tcPr>
            <w:tcW w:w="517" w:type="pct"/>
            <w:tcBorders>
              <w:right w:val="nil"/>
            </w:tcBorders>
          </w:tcPr>
          <w:p w:rsidR="00A62A0B" w:rsidRPr="004C6F2A" w:rsidRDefault="00A62A0B" w:rsidP="00A62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b/>
                <w:sz w:val="20"/>
                <w:szCs w:val="20"/>
              </w:rPr>
              <w:t>0,76%</w:t>
            </w:r>
          </w:p>
        </w:tc>
        <w:tc>
          <w:tcPr>
            <w:tcW w:w="4483" w:type="pct"/>
            <w:tcBorders>
              <w:left w:val="nil"/>
            </w:tcBorders>
          </w:tcPr>
          <w:p w:rsidR="00A62A0B" w:rsidRPr="004C6F2A" w:rsidRDefault="00A62A0B" w:rsidP="00A62A0B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aliquota ordinaria</w:t>
            </w:r>
          </w:p>
        </w:tc>
      </w:tr>
    </w:tbl>
    <w:p w:rsidR="00A62A0B" w:rsidRPr="004C6F2A" w:rsidRDefault="00A62A0B" w:rsidP="00A62A0B">
      <w:pPr>
        <w:ind w:left="-77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28"/>
        <w:gridCol w:w="8926"/>
      </w:tblGrid>
      <w:tr w:rsidR="00A62A0B" w:rsidRPr="004C6F2A" w:rsidTr="00A62A0B">
        <w:tc>
          <w:tcPr>
            <w:tcW w:w="471" w:type="pct"/>
            <w:tcBorders>
              <w:bottom w:val="nil"/>
              <w:right w:val="nil"/>
            </w:tcBorders>
          </w:tcPr>
          <w:p w:rsidR="00A62A0B" w:rsidRPr="004C6F2A" w:rsidRDefault="00A62A0B" w:rsidP="00A62A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pct"/>
            <w:tcBorders>
              <w:left w:val="nil"/>
              <w:bottom w:val="nil"/>
            </w:tcBorders>
          </w:tcPr>
          <w:p w:rsidR="00A62A0B" w:rsidRPr="004C6F2A" w:rsidRDefault="00A62A0B" w:rsidP="00A62A0B">
            <w:pPr>
              <w:ind w:left="34" w:hanging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 maggiorata per 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immobili categoria A diversi dall’abitazione  principale e dalla   categoria A 10;</w:t>
            </w:r>
          </w:p>
        </w:tc>
      </w:tr>
      <w:tr w:rsidR="00A62A0B" w:rsidRPr="004C6F2A" w:rsidTr="00A62A0B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A62A0B" w:rsidRPr="004C6F2A" w:rsidRDefault="00A62A0B" w:rsidP="00A62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F2A">
              <w:rPr>
                <w:rFonts w:ascii="Arial" w:hAnsi="Arial" w:cs="Arial"/>
                <w:b/>
                <w:sz w:val="20"/>
                <w:szCs w:val="20"/>
              </w:rPr>
              <w:t>0,95%</w:t>
            </w:r>
          </w:p>
        </w:tc>
        <w:tc>
          <w:tcPr>
            <w:tcW w:w="4529" w:type="pct"/>
            <w:tcBorders>
              <w:top w:val="nil"/>
              <w:left w:val="nil"/>
              <w:bottom w:val="nil"/>
            </w:tcBorders>
          </w:tcPr>
          <w:p w:rsidR="00A62A0B" w:rsidRPr="004C6F2A" w:rsidRDefault="00A62A0B" w:rsidP="00A62A0B">
            <w:pPr>
              <w:tabs>
                <w:tab w:val="left" w:pos="14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 maggiorata per 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immobili categoria C2 C6 C7  diversi dalle pertinenze della abitazione  principale;</w:t>
            </w:r>
          </w:p>
        </w:tc>
      </w:tr>
      <w:tr w:rsidR="00A62A0B" w:rsidRPr="004C6F2A" w:rsidTr="00A62A0B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A62A0B" w:rsidRPr="004C6F2A" w:rsidRDefault="00A62A0B" w:rsidP="00A62A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pct"/>
            <w:tcBorders>
              <w:top w:val="nil"/>
              <w:left w:val="nil"/>
              <w:bottom w:val="nil"/>
            </w:tcBorders>
          </w:tcPr>
          <w:p w:rsidR="00A62A0B" w:rsidRPr="004C6F2A" w:rsidRDefault="00A62A0B" w:rsidP="00A62A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 maggiorata per 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immobili categoria C1  D2   D5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</w:tc>
      </w:tr>
      <w:tr w:rsidR="00A62A0B" w:rsidRPr="004C6F2A" w:rsidTr="00A62A0B">
        <w:tc>
          <w:tcPr>
            <w:tcW w:w="471" w:type="pct"/>
            <w:tcBorders>
              <w:top w:val="nil"/>
              <w:right w:val="nil"/>
            </w:tcBorders>
          </w:tcPr>
          <w:p w:rsidR="00A62A0B" w:rsidRPr="004C6F2A" w:rsidRDefault="00A62A0B" w:rsidP="00A62A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pct"/>
            <w:tcBorders>
              <w:top w:val="nil"/>
              <w:left w:val="nil"/>
            </w:tcBorders>
          </w:tcPr>
          <w:p w:rsidR="00A62A0B" w:rsidRPr="004C6F2A" w:rsidRDefault="00A62A0B" w:rsidP="00A62A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 maggiorata per  le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aree  edificabili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A62A0B" w:rsidRPr="00026FBF" w:rsidRDefault="00A62A0B" w:rsidP="00A62A0B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62A0B" w:rsidRPr="005F4C5B" w:rsidRDefault="00A62A0B" w:rsidP="00A62A0B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F4C5B">
        <w:rPr>
          <w:rFonts w:ascii="Arial" w:hAnsi="Arial" w:cs="Arial"/>
          <w:b/>
          <w:caps/>
          <w:sz w:val="28"/>
          <w:szCs w:val="28"/>
          <w:u w:val="single"/>
        </w:rPr>
        <w:t>Detrazioni</w:t>
      </w:r>
      <w:r w:rsidRPr="005F4C5B">
        <w:rPr>
          <w:rFonts w:ascii="Arial" w:hAnsi="Arial" w:cs="Arial"/>
          <w:b/>
          <w:sz w:val="28"/>
          <w:szCs w:val="28"/>
          <w:u w:val="single"/>
        </w:rPr>
        <w:t>:</w:t>
      </w:r>
    </w:p>
    <w:p w:rsidR="00A62A0B" w:rsidRDefault="00A62A0B" w:rsidP="00A62A0B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6F2A">
        <w:rPr>
          <w:rFonts w:ascii="Arial" w:hAnsi="Arial" w:cs="Arial"/>
          <w:sz w:val="20"/>
          <w:szCs w:val="20"/>
          <w:u w:val="single"/>
        </w:rPr>
        <w:t>detrazione d’imposta di €. 200,00</w:t>
      </w:r>
      <w:r w:rsidRPr="00C258B3">
        <w:rPr>
          <w:rFonts w:ascii="Arial" w:hAnsi="Arial" w:cs="Arial"/>
          <w:sz w:val="20"/>
          <w:szCs w:val="20"/>
        </w:rPr>
        <w:t xml:space="preserve"> maggiorata, per i soli anni 2012 e 2013, di ulteriori </w:t>
      </w:r>
      <w:r w:rsidRPr="004C6F2A">
        <w:rPr>
          <w:rFonts w:ascii="Arial" w:hAnsi="Arial" w:cs="Arial"/>
          <w:sz w:val="20"/>
          <w:szCs w:val="20"/>
          <w:u w:val="single"/>
        </w:rPr>
        <w:t>€. 50,00 per ogni figlio di età inferiore a 26 anni dimorante</w:t>
      </w:r>
      <w:r w:rsidRPr="00C258B3">
        <w:rPr>
          <w:rFonts w:ascii="Arial" w:hAnsi="Arial" w:cs="Arial"/>
          <w:sz w:val="20"/>
          <w:szCs w:val="20"/>
        </w:rPr>
        <w:t xml:space="preserve"> abitualmente e residente anagraficamente, </w:t>
      </w:r>
      <w:r w:rsidRPr="00C258B3">
        <w:rPr>
          <w:rFonts w:ascii="Arial" w:hAnsi="Arial" w:cs="Arial"/>
          <w:sz w:val="20"/>
          <w:szCs w:val="20"/>
          <w:u w:val="single"/>
        </w:rPr>
        <w:t>fino ad un massimo di €. 400,00 cumulabili</w:t>
      </w:r>
      <w:r w:rsidRPr="00C258B3">
        <w:rPr>
          <w:rFonts w:ascii="Arial" w:hAnsi="Arial" w:cs="Arial"/>
          <w:sz w:val="20"/>
          <w:szCs w:val="20"/>
        </w:rPr>
        <w:t>, riconosciuta a favore di:</w:t>
      </w:r>
    </w:p>
    <w:p w:rsidR="00A62A0B" w:rsidRPr="00C258B3" w:rsidRDefault="00A62A0B" w:rsidP="00A62A0B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62A0B" w:rsidRPr="00C258B3" w:rsidRDefault="00A62A0B" w:rsidP="00A62A0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58B3">
        <w:rPr>
          <w:rFonts w:ascii="Arial" w:hAnsi="Arial" w:cs="Arial"/>
          <w:sz w:val="20"/>
          <w:szCs w:val="20"/>
        </w:rPr>
        <w:t xml:space="preserve">unità immobiliari adibite ad </w:t>
      </w:r>
      <w:r w:rsidRPr="004C6F2A">
        <w:rPr>
          <w:rFonts w:ascii="Arial" w:hAnsi="Arial" w:cs="Arial"/>
          <w:sz w:val="20"/>
          <w:szCs w:val="20"/>
          <w:u w:val="single"/>
        </w:rPr>
        <w:t>abitazione principale</w:t>
      </w:r>
      <w:r w:rsidRPr="00C258B3">
        <w:rPr>
          <w:rFonts w:ascii="Arial" w:hAnsi="Arial" w:cs="Arial"/>
          <w:sz w:val="20"/>
          <w:szCs w:val="20"/>
        </w:rPr>
        <w:t xml:space="preserve"> del contribuente e relative pertinenze;</w:t>
      </w:r>
    </w:p>
    <w:p w:rsidR="00A62A0B" w:rsidRDefault="00A62A0B" w:rsidP="00A62A0B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C6F2A">
        <w:rPr>
          <w:rFonts w:ascii="Arial" w:hAnsi="Arial" w:cs="Arial"/>
          <w:sz w:val="20"/>
          <w:szCs w:val="20"/>
        </w:rPr>
        <w:t>unità immobiliari assimilate</w:t>
      </w:r>
      <w:r w:rsidRPr="005F4C5B">
        <w:rPr>
          <w:rFonts w:ascii="Arial" w:hAnsi="Arial" w:cs="Arial"/>
          <w:sz w:val="20"/>
          <w:szCs w:val="20"/>
        </w:rPr>
        <w:t xml:space="preserve"> per  legge  o  regolamento  all’ abitazione  principale e relative pertinenze  </w:t>
      </w:r>
      <w:r w:rsidRPr="005F4C5B">
        <w:rPr>
          <w:rFonts w:ascii="Arial" w:hAnsi="Arial" w:cs="Arial"/>
          <w:sz w:val="20"/>
          <w:szCs w:val="20"/>
          <w:u w:val="single"/>
        </w:rPr>
        <w:t>(Es. Anziani o  disabili con residenza  in casa di riposo e prima casa  non locata).</w:t>
      </w:r>
    </w:p>
    <w:p w:rsidR="00A62A0B" w:rsidRPr="005F4C5B" w:rsidRDefault="00A62A0B" w:rsidP="00A62A0B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  <w:u w:val="single"/>
        </w:rPr>
      </w:pPr>
    </w:p>
    <w:p w:rsidR="00A62A0B" w:rsidRPr="005F4C5B" w:rsidRDefault="00A62A0B" w:rsidP="00A62A0B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F4C5B">
        <w:rPr>
          <w:rFonts w:ascii="Arial" w:hAnsi="Arial" w:cs="Arial"/>
          <w:b/>
          <w:caps/>
          <w:sz w:val="28"/>
          <w:szCs w:val="28"/>
          <w:u w:val="single"/>
        </w:rPr>
        <w:t>Base  imponibile</w:t>
      </w:r>
      <w:r w:rsidRPr="005F4C5B">
        <w:rPr>
          <w:rFonts w:ascii="Arial" w:hAnsi="Arial" w:cs="Arial"/>
          <w:b/>
          <w:sz w:val="28"/>
          <w:szCs w:val="28"/>
          <w:u w:val="single"/>
        </w:rPr>
        <w:t>:</w:t>
      </w:r>
    </w:p>
    <w:p w:rsidR="00A62A0B" w:rsidRPr="00C258B3" w:rsidRDefault="00A62A0B" w:rsidP="00A62A0B">
      <w:pPr>
        <w:pStyle w:val="Rientrocorpodeltesto1"/>
        <w:numPr>
          <w:ilvl w:val="0"/>
          <w:numId w:val="12"/>
        </w:numPr>
        <w:spacing w:line="360" w:lineRule="auto"/>
        <w:rPr>
          <w:rFonts w:ascii="Arial" w:hAnsi="Arial" w:cs="Arial"/>
          <w:iCs/>
          <w:sz w:val="20"/>
          <w:szCs w:val="20"/>
        </w:rPr>
      </w:pPr>
      <w:r w:rsidRPr="00C258B3">
        <w:rPr>
          <w:rFonts w:ascii="Arial" w:hAnsi="Arial" w:cs="Arial"/>
          <w:iCs/>
          <w:sz w:val="20"/>
          <w:szCs w:val="20"/>
        </w:rPr>
        <w:t>La base imponibile, per i fabbricati iscritti in catasto, è calcolata come segue: valore della rendita, vigente al 1° gennaio dell’anno di imposizione, rivalutata del 5 per cento ai sensi dell’art. 3, comma 48, della legge 23 dicembre 1996, n. 662, moltiplicato per i  seguenti coefficienti: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4635"/>
      </w:tblGrid>
      <w:tr w:rsidR="00A62A0B" w:rsidRPr="0073699B" w:rsidTr="00A62A0B">
        <w:tc>
          <w:tcPr>
            <w:tcW w:w="2648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Classificazione</w:t>
            </w:r>
          </w:p>
        </w:tc>
        <w:tc>
          <w:tcPr>
            <w:tcW w:w="2352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Coefficiente</w:t>
            </w:r>
          </w:p>
        </w:tc>
      </w:tr>
      <w:tr w:rsidR="00A62A0B" w:rsidRPr="0073699B" w:rsidTr="00A62A0B">
        <w:tc>
          <w:tcPr>
            <w:tcW w:w="2648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Gruppo catastale A con esclusione della categoria catastale A/10</w:t>
            </w:r>
          </w:p>
        </w:tc>
        <w:tc>
          <w:tcPr>
            <w:tcW w:w="2352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160</w:t>
            </w:r>
          </w:p>
        </w:tc>
      </w:tr>
      <w:tr w:rsidR="00A62A0B" w:rsidRPr="0073699B" w:rsidTr="00A62A0B">
        <w:tc>
          <w:tcPr>
            <w:tcW w:w="2648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 xml:space="preserve">Categoria catastale A/10 </w:t>
            </w:r>
          </w:p>
        </w:tc>
        <w:tc>
          <w:tcPr>
            <w:tcW w:w="2352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3699B">
              <w:rPr>
                <w:rFonts w:ascii="Arial" w:hAnsi="Arial" w:cs="Arial"/>
                <w:iCs/>
                <w:sz w:val="22"/>
                <w:szCs w:val="22"/>
              </w:rPr>
              <w:t>80</w:t>
            </w:r>
          </w:p>
        </w:tc>
      </w:tr>
      <w:tr w:rsidR="00A62A0B" w:rsidRPr="0073699B" w:rsidTr="00A62A0B">
        <w:tc>
          <w:tcPr>
            <w:tcW w:w="2648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Gruppo catastale B</w:t>
            </w:r>
          </w:p>
        </w:tc>
        <w:tc>
          <w:tcPr>
            <w:tcW w:w="2352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140</w:t>
            </w:r>
          </w:p>
        </w:tc>
      </w:tr>
      <w:tr w:rsidR="00A62A0B" w:rsidRPr="0073699B" w:rsidTr="00A62A0B">
        <w:tc>
          <w:tcPr>
            <w:tcW w:w="2648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Categoria catastale C/1</w:t>
            </w:r>
          </w:p>
        </w:tc>
        <w:tc>
          <w:tcPr>
            <w:tcW w:w="2352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73699B">
              <w:rPr>
                <w:rFonts w:ascii="Arial" w:hAnsi="Arial" w:cs="Arial"/>
                <w:iCs/>
                <w:sz w:val="22"/>
                <w:szCs w:val="22"/>
              </w:rPr>
              <w:t>55</w:t>
            </w:r>
          </w:p>
        </w:tc>
      </w:tr>
      <w:tr w:rsidR="00A62A0B" w:rsidRPr="0073699B" w:rsidTr="00A62A0B">
        <w:tc>
          <w:tcPr>
            <w:tcW w:w="2648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Categorie catastali C/2, C/6 e C/7</w:t>
            </w:r>
          </w:p>
        </w:tc>
        <w:tc>
          <w:tcPr>
            <w:tcW w:w="2352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160</w:t>
            </w:r>
          </w:p>
        </w:tc>
      </w:tr>
      <w:tr w:rsidR="00A62A0B" w:rsidRPr="0073699B" w:rsidTr="00A62A0B">
        <w:tc>
          <w:tcPr>
            <w:tcW w:w="2648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Categoria catastali C/3, C/4 e C/5</w:t>
            </w:r>
          </w:p>
        </w:tc>
        <w:tc>
          <w:tcPr>
            <w:tcW w:w="2352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140</w:t>
            </w:r>
          </w:p>
        </w:tc>
      </w:tr>
      <w:tr w:rsidR="00A62A0B" w:rsidRPr="0073699B" w:rsidTr="00A62A0B">
        <w:tc>
          <w:tcPr>
            <w:tcW w:w="2648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Gruppo catastale D con esclusione della categoria catastale D/5</w:t>
            </w:r>
          </w:p>
        </w:tc>
        <w:tc>
          <w:tcPr>
            <w:tcW w:w="2352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60 per l’anno d’imposta 2012</w:t>
            </w:r>
          </w:p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65 a decorrere dall’anno d’imposta 2013</w:t>
            </w:r>
          </w:p>
        </w:tc>
      </w:tr>
      <w:tr w:rsidR="00A62A0B" w:rsidRPr="0073699B" w:rsidTr="00A62A0B">
        <w:trPr>
          <w:trHeight w:val="61"/>
        </w:trPr>
        <w:tc>
          <w:tcPr>
            <w:tcW w:w="2648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 xml:space="preserve">Categoria catastale D/5 </w:t>
            </w:r>
          </w:p>
        </w:tc>
        <w:tc>
          <w:tcPr>
            <w:tcW w:w="2352" w:type="pct"/>
          </w:tcPr>
          <w:p w:rsidR="00A62A0B" w:rsidRPr="0073699B" w:rsidRDefault="00A62A0B" w:rsidP="00A62A0B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80</w:t>
            </w:r>
          </w:p>
        </w:tc>
      </w:tr>
    </w:tbl>
    <w:p w:rsidR="00A62A0B" w:rsidRDefault="00A62A0B" w:rsidP="00A62A0B"/>
    <w:p w:rsidR="00A62A0B" w:rsidRDefault="00A62A0B" w:rsidP="00A62A0B">
      <w:pPr>
        <w:pStyle w:val="Rientrocorpodeltesto1"/>
        <w:spacing w:line="360" w:lineRule="auto"/>
        <w:ind w:firstLine="0"/>
        <w:rPr>
          <w:rFonts w:ascii="Arial" w:hAnsi="Arial" w:cs="Arial"/>
          <w:iCs/>
          <w:sz w:val="20"/>
          <w:szCs w:val="20"/>
          <w:u w:val="single"/>
        </w:rPr>
      </w:pPr>
    </w:p>
    <w:p w:rsidR="00A62A0B" w:rsidRDefault="00A62A0B" w:rsidP="00A62A0B">
      <w:pPr>
        <w:pStyle w:val="Rientrocorpodeltesto1"/>
        <w:spacing w:line="360" w:lineRule="auto"/>
        <w:ind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u w:val="single"/>
        </w:rPr>
        <w:t>AREE EDIFICABILI: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F57D6">
        <w:rPr>
          <w:rFonts w:ascii="Arial" w:hAnsi="Arial" w:cs="Arial"/>
          <w:iCs/>
          <w:sz w:val="20"/>
          <w:szCs w:val="20"/>
        </w:rPr>
        <w:t xml:space="preserve">la  base  imponibile è rappresentata  dal valore venale in comune  commercio al 1  gennaio dell’anno  di  imposizione  ai  sensi  art  5  comma 5  del </w:t>
      </w:r>
      <w:proofErr w:type="spellStart"/>
      <w:r w:rsidRPr="00CF57D6">
        <w:rPr>
          <w:rFonts w:ascii="Arial" w:hAnsi="Arial" w:cs="Arial"/>
          <w:iCs/>
          <w:sz w:val="20"/>
          <w:szCs w:val="20"/>
        </w:rPr>
        <w:t>D.lgs</w:t>
      </w:r>
      <w:proofErr w:type="spellEnd"/>
      <w:r w:rsidRPr="00CF57D6">
        <w:rPr>
          <w:rFonts w:ascii="Arial" w:hAnsi="Arial" w:cs="Arial"/>
          <w:iCs/>
          <w:sz w:val="20"/>
          <w:szCs w:val="20"/>
        </w:rPr>
        <w:t xml:space="preserve"> 504/1992.</w:t>
      </w:r>
    </w:p>
    <w:p w:rsidR="00A62A0B" w:rsidRDefault="00A62A0B" w:rsidP="00A62A0B">
      <w:pPr>
        <w:pStyle w:val="Rientrocorpodeltesto1"/>
        <w:spacing w:line="360" w:lineRule="auto"/>
        <w:ind w:firstLine="0"/>
        <w:rPr>
          <w:rFonts w:ascii="Arial" w:hAnsi="Arial" w:cs="Arial"/>
          <w:iCs/>
          <w:sz w:val="20"/>
          <w:szCs w:val="20"/>
        </w:rPr>
      </w:pPr>
    </w:p>
    <w:p w:rsidR="00A62A0B" w:rsidRPr="004C6F2A" w:rsidRDefault="00A62A0B" w:rsidP="00A62A0B">
      <w:pPr>
        <w:pStyle w:val="Rientrocorpodeltesto1"/>
        <w:spacing w:line="360" w:lineRule="auto"/>
        <w:ind w:firstLine="0"/>
        <w:rPr>
          <w:rFonts w:ascii="Arial" w:hAnsi="Arial" w:cs="Arial"/>
          <w:iCs/>
          <w:sz w:val="20"/>
          <w:szCs w:val="20"/>
        </w:rPr>
      </w:pPr>
      <w:r w:rsidRPr="0061175B">
        <w:rPr>
          <w:rFonts w:ascii="Arial" w:hAnsi="Arial" w:cs="Arial"/>
          <w:iCs/>
          <w:caps/>
          <w:sz w:val="24"/>
          <w:szCs w:val="24"/>
          <w:u w:val="single"/>
        </w:rPr>
        <w:t>terreni  agricoli  e  i fabbricati  rurali ad  uso strumentale:</w:t>
      </w:r>
      <w:r w:rsidRPr="0061175B">
        <w:rPr>
          <w:rFonts w:ascii="Arial" w:hAnsi="Arial" w:cs="Arial"/>
          <w:iCs/>
          <w:caps/>
          <w:sz w:val="24"/>
          <w:szCs w:val="24"/>
        </w:rPr>
        <w:t xml:space="preserve">  </w:t>
      </w:r>
      <w:r w:rsidRPr="0061175B">
        <w:rPr>
          <w:rFonts w:ascii="Arial" w:hAnsi="Arial" w:cs="Arial"/>
          <w:iCs/>
          <w:sz w:val="24"/>
          <w:szCs w:val="24"/>
          <w:u w:val="single"/>
        </w:rPr>
        <w:t>ESENTI</w:t>
      </w:r>
      <w:r>
        <w:rPr>
          <w:rFonts w:ascii="Arial" w:hAnsi="Arial" w:cs="Arial"/>
          <w:iCs/>
          <w:sz w:val="20"/>
          <w:szCs w:val="20"/>
        </w:rPr>
        <w:t xml:space="preserve">  in quanto il </w:t>
      </w:r>
      <w:r w:rsidRPr="00CF57D6">
        <w:rPr>
          <w:rFonts w:ascii="Arial" w:hAnsi="Arial" w:cs="Arial"/>
          <w:iCs/>
          <w:sz w:val="20"/>
          <w:szCs w:val="20"/>
        </w:rPr>
        <w:t>Comune  di  Vicoforte   risulta nell’elenco  dei  Comuni  Montani pubblicato  dall’ISTAT</w:t>
      </w:r>
      <w:r>
        <w:rPr>
          <w:rFonts w:ascii="Arial" w:hAnsi="Arial" w:cs="Arial"/>
          <w:iCs/>
          <w:sz w:val="20"/>
          <w:szCs w:val="20"/>
        </w:rPr>
        <w:t>.</w:t>
      </w:r>
    </w:p>
    <w:p w:rsidR="00A62A0B" w:rsidRDefault="00A62A0B" w:rsidP="002B0FF8">
      <w:pPr>
        <w:pStyle w:val="Rientrocorpodeltesto1"/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D905A3" w:rsidRPr="00063F19" w:rsidRDefault="002B0FF8" w:rsidP="002B0FF8">
      <w:pPr>
        <w:pStyle w:val="Rientrocorpodeltesto1"/>
        <w:spacing w:line="360" w:lineRule="auto"/>
        <w:ind w:firstLine="0"/>
        <w:rPr>
          <w:rFonts w:ascii="Arial" w:hAnsi="Arial" w:cs="Arial"/>
          <w:sz w:val="24"/>
          <w:szCs w:val="24"/>
        </w:rPr>
      </w:pPr>
      <w:r w:rsidRPr="00063F19">
        <w:rPr>
          <w:rFonts w:ascii="Arial" w:hAnsi="Arial" w:cs="Arial"/>
          <w:sz w:val="24"/>
          <w:szCs w:val="24"/>
        </w:rPr>
        <w:t>L</w:t>
      </w:r>
      <w:r w:rsidR="00D905A3" w:rsidRPr="00063F19">
        <w:rPr>
          <w:rFonts w:ascii="Arial" w:hAnsi="Arial" w:cs="Arial"/>
          <w:sz w:val="24"/>
          <w:szCs w:val="24"/>
        </w:rPr>
        <w:t xml:space="preserve">e aliquote e le detrazioni  sono da applicarsi esclusivamente per l'importo dovuto in acconto , per espressa previsione normativa, potrebbero essere suscettibili di variazioni </w:t>
      </w:r>
      <w:r w:rsidR="000A3607">
        <w:rPr>
          <w:rFonts w:ascii="Arial" w:hAnsi="Arial" w:cs="Arial"/>
          <w:sz w:val="24"/>
          <w:szCs w:val="24"/>
        </w:rPr>
        <w:t>e saranno  pubblicate  entro  il  16  novembre  2013</w:t>
      </w:r>
      <w:r w:rsidR="00D905A3" w:rsidRPr="00063F19">
        <w:rPr>
          <w:rFonts w:ascii="Arial" w:hAnsi="Arial" w:cs="Arial"/>
          <w:sz w:val="24"/>
          <w:szCs w:val="24"/>
        </w:rPr>
        <w:t xml:space="preserve"> ad opera del Comune</w:t>
      </w:r>
      <w:r w:rsidR="000A3607">
        <w:rPr>
          <w:rFonts w:ascii="Arial" w:hAnsi="Arial" w:cs="Arial"/>
          <w:sz w:val="24"/>
          <w:szCs w:val="24"/>
        </w:rPr>
        <w:t>.</w:t>
      </w:r>
    </w:p>
    <w:p w:rsidR="00D905A3" w:rsidRPr="00063F19" w:rsidRDefault="00D905A3" w:rsidP="00D905A3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</w:rPr>
      </w:pPr>
      <w:r w:rsidRPr="00063F19">
        <w:rPr>
          <w:rFonts w:ascii="Arial" w:hAnsi="Arial" w:cs="Arial"/>
        </w:rPr>
        <w:t>Infatti il D.L. 16/2012, convertito nella Legge n. 44/2012, stabilisce per l'IMU che:</w:t>
      </w:r>
    </w:p>
    <w:p w:rsidR="00D905A3" w:rsidRPr="006C6B97" w:rsidRDefault="00D905A3" w:rsidP="00D905A3">
      <w:pPr>
        <w:shd w:val="clear" w:color="auto" w:fill="FFFFFF"/>
        <w:spacing w:line="480" w:lineRule="atLeast"/>
        <w:outlineLvl w:val="1"/>
        <w:rPr>
          <w:rFonts w:ascii="Arial" w:hAnsi="Arial" w:cs="Arial"/>
          <w:b/>
          <w:color w:val="666666"/>
          <w:sz w:val="28"/>
          <w:szCs w:val="28"/>
        </w:rPr>
      </w:pPr>
      <w:r w:rsidRPr="006C6B97">
        <w:rPr>
          <w:rFonts w:ascii="Arial" w:hAnsi="Arial" w:cs="Arial"/>
          <w:b/>
          <w:color w:val="666666"/>
          <w:sz w:val="28"/>
          <w:szCs w:val="28"/>
        </w:rPr>
        <w:t>Acconto</w:t>
      </w:r>
    </w:p>
    <w:p w:rsidR="00D905A3" w:rsidRPr="006C6B97" w:rsidRDefault="00D905A3" w:rsidP="00D905A3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  <w:b/>
          <w:color w:val="666666"/>
          <w:sz w:val="28"/>
          <w:szCs w:val="28"/>
        </w:rPr>
      </w:pPr>
      <w:r w:rsidRPr="006C6B97">
        <w:rPr>
          <w:rFonts w:ascii="Arial" w:hAnsi="Arial" w:cs="Arial"/>
          <w:b/>
          <w:color w:val="666666"/>
          <w:sz w:val="28"/>
          <w:szCs w:val="28"/>
        </w:rPr>
        <w:t>Il pagamento dell'acconto del 1</w:t>
      </w:r>
      <w:r w:rsidR="000A3607" w:rsidRPr="006C6B97">
        <w:rPr>
          <w:rFonts w:ascii="Arial" w:hAnsi="Arial" w:cs="Arial"/>
          <w:b/>
          <w:color w:val="666666"/>
          <w:sz w:val="28"/>
          <w:szCs w:val="28"/>
        </w:rPr>
        <w:t>7</w:t>
      </w:r>
      <w:r w:rsidRPr="006C6B97">
        <w:rPr>
          <w:rFonts w:ascii="Arial" w:hAnsi="Arial" w:cs="Arial"/>
          <w:b/>
          <w:color w:val="666666"/>
          <w:sz w:val="28"/>
          <w:szCs w:val="28"/>
        </w:rPr>
        <w:t xml:space="preserve"> giugno (il 16 cade di </w:t>
      </w:r>
      <w:r w:rsidR="000605A9" w:rsidRPr="006C6B97">
        <w:rPr>
          <w:rFonts w:ascii="Arial" w:hAnsi="Arial" w:cs="Arial"/>
          <w:b/>
          <w:color w:val="666666"/>
          <w:sz w:val="28"/>
          <w:szCs w:val="28"/>
        </w:rPr>
        <w:t>domenica</w:t>
      </w:r>
      <w:r w:rsidRPr="006C6B97">
        <w:rPr>
          <w:rFonts w:ascii="Arial" w:hAnsi="Arial" w:cs="Arial"/>
          <w:b/>
          <w:color w:val="666666"/>
          <w:sz w:val="28"/>
          <w:szCs w:val="28"/>
        </w:rPr>
        <w:t>) deve essere determinato sulla base delle aliquote e detrazioni di legge.</w:t>
      </w:r>
    </w:p>
    <w:p w:rsidR="005B5534" w:rsidRDefault="005B5534" w:rsidP="00D905A3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</w:rPr>
      </w:pPr>
    </w:p>
    <w:p w:rsidR="005B5534" w:rsidRDefault="005B5534" w:rsidP="00D905A3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</w:rPr>
      </w:pPr>
    </w:p>
    <w:p w:rsidR="005B5534" w:rsidRPr="00063F19" w:rsidRDefault="005B5534" w:rsidP="00D905A3">
      <w:pPr>
        <w:shd w:val="clear" w:color="auto" w:fill="FFFFFF"/>
        <w:spacing w:before="100" w:beforeAutospacing="1" w:after="100" w:afterAutospacing="1" w:line="432" w:lineRule="atLeast"/>
        <w:jc w:val="both"/>
        <w:rPr>
          <w:rFonts w:ascii="Arial" w:hAnsi="Arial" w:cs="Arial"/>
        </w:rPr>
      </w:pPr>
    </w:p>
    <w:p w:rsidR="005B5534" w:rsidRPr="00F0232C" w:rsidRDefault="005B5534" w:rsidP="005B5534">
      <w:pPr>
        <w:shd w:val="clear" w:color="auto" w:fill="FFFFFF"/>
        <w:spacing w:after="240"/>
        <w:jc w:val="both"/>
        <w:rPr>
          <w:rFonts w:ascii="Arial" w:hAnsi="Arial" w:cs="Arial"/>
          <w:u w:val="single"/>
        </w:rPr>
      </w:pPr>
      <w:r w:rsidRPr="00F0232C">
        <w:rPr>
          <w:rFonts w:ascii="Arial" w:hAnsi="Arial" w:cs="Arial"/>
          <w:u w:val="single"/>
        </w:rPr>
        <w:t>RAVVEDIMENTO OPEROSO</w:t>
      </w:r>
    </w:p>
    <w:p w:rsidR="005B5534" w:rsidRDefault="005B5534" w:rsidP="005B5534">
      <w:pPr>
        <w:shd w:val="clear" w:color="auto" w:fill="FFFFFF"/>
        <w:spacing w:after="240"/>
        <w:jc w:val="both"/>
        <w:rPr>
          <w:rFonts w:ascii="Arial" w:hAnsi="Arial" w:cs="Arial"/>
        </w:rPr>
      </w:pPr>
      <w:r w:rsidRPr="005B5534">
        <w:rPr>
          <w:rFonts w:ascii="Arial" w:hAnsi="Arial" w:cs="Arial"/>
        </w:rPr>
        <w:t> </w:t>
      </w:r>
      <w:r w:rsidRPr="005B5534">
        <w:rPr>
          <w:rFonts w:ascii="Arial" w:hAnsi="Arial" w:cs="Arial"/>
        </w:rPr>
        <w:br/>
        <w:t xml:space="preserve">la Legge (art. 13 </w:t>
      </w:r>
      <w:proofErr w:type="spellStart"/>
      <w:r w:rsidRPr="005B5534">
        <w:rPr>
          <w:rFonts w:ascii="Arial" w:hAnsi="Arial" w:cs="Arial"/>
        </w:rPr>
        <w:t>D.Lgs.</w:t>
      </w:r>
      <w:proofErr w:type="spellEnd"/>
      <w:r w:rsidRPr="005B5534">
        <w:rPr>
          <w:rFonts w:ascii="Arial" w:hAnsi="Arial" w:cs="Arial"/>
        </w:rPr>
        <w:t xml:space="preserve"> 18/12/97, n. 472 e </w:t>
      </w:r>
      <w:proofErr w:type="spellStart"/>
      <w:r w:rsidRPr="005B5534">
        <w:rPr>
          <w:rFonts w:ascii="Arial" w:hAnsi="Arial" w:cs="Arial"/>
        </w:rPr>
        <w:t>s.m.i.</w:t>
      </w:r>
      <w:proofErr w:type="spellEnd"/>
      <w:r w:rsidRPr="005B5534">
        <w:rPr>
          <w:rFonts w:ascii="Arial" w:hAnsi="Arial" w:cs="Arial"/>
        </w:rPr>
        <w:t>) consente al contribuente di regolarizzare, di sua iniziativa, talune violazioni connesse al pagamento del'IMU mediante il c.d. "ravvedimento operoso".</w:t>
      </w:r>
    </w:p>
    <w:p w:rsidR="007A6536" w:rsidRDefault="005B5534" w:rsidP="00CD778E">
      <w:pPr>
        <w:shd w:val="clear" w:color="auto" w:fill="FFFFFF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Questo istituto compo</w:t>
      </w:r>
      <w:r w:rsidRPr="005B5534">
        <w:rPr>
          <w:rFonts w:ascii="Arial" w:hAnsi="Arial" w:cs="Arial"/>
        </w:rPr>
        <w:t>rta riduzioni automatiche alle misure mi</w:t>
      </w:r>
      <w:r w:rsidR="007A6536">
        <w:rPr>
          <w:rFonts w:ascii="Arial" w:hAnsi="Arial" w:cs="Arial"/>
        </w:rPr>
        <w:t>nime delle sanzioni applicabili;</w:t>
      </w:r>
    </w:p>
    <w:p w:rsidR="007A6536" w:rsidRDefault="007A6536" w:rsidP="00CD778E">
      <w:pPr>
        <w:shd w:val="clear" w:color="auto" w:fill="FFFFFF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La circolare n. 1/</w:t>
      </w:r>
      <w:proofErr w:type="spellStart"/>
      <w:r>
        <w:rPr>
          <w:rFonts w:ascii="Arial" w:hAnsi="Arial" w:cs="Arial"/>
        </w:rPr>
        <w:t>df</w:t>
      </w:r>
      <w:proofErr w:type="spellEnd"/>
      <w:r>
        <w:rPr>
          <w:rFonts w:ascii="Arial" w:hAnsi="Arial" w:cs="Arial"/>
        </w:rPr>
        <w:t xml:space="preserve"> del 29/04/2013, rilasciata dal Ministero delle finanze, ha previsto ulteriori modifiche per detto istituto:</w:t>
      </w:r>
    </w:p>
    <w:p w:rsidR="00CD778E" w:rsidRPr="006E1F3B" w:rsidRDefault="005B5534" w:rsidP="00CD778E">
      <w:pPr>
        <w:shd w:val="clear" w:color="auto" w:fill="FFFFFF"/>
        <w:spacing w:after="240"/>
        <w:jc w:val="both"/>
        <w:rPr>
          <w:rFonts w:ascii="Arial" w:hAnsi="Arial" w:cs="Arial"/>
        </w:rPr>
      </w:pPr>
      <w:bookmarkStart w:id="0" w:name="_GoBack"/>
      <w:bookmarkEnd w:id="0"/>
      <w:r w:rsidRPr="005B5534">
        <w:rPr>
          <w:rFonts w:ascii="Arial" w:hAnsi="Arial" w:cs="Arial"/>
        </w:rPr>
        <w:br/>
      </w:r>
      <w:r w:rsidR="00CD778E" w:rsidRPr="006E1F3B">
        <w:rPr>
          <w:rFonts w:ascii="Arial" w:hAnsi="Arial" w:cs="Arial"/>
          <w:b/>
          <w:bCs/>
        </w:rPr>
        <w:t>Ravvedimento Sprint</w:t>
      </w:r>
      <w:r w:rsidR="00CD778E" w:rsidRPr="006E1F3B">
        <w:rPr>
          <w:rFonts w:ascii="Arial" w:hAnsi="Arial" w:cs="Arial"/>
        </w:rPr>
        <w:t xml:space="preserve">: prevede la possibilità di sanare la propria situazione versando l'imposta dovuta </w:t>
      </w:r>
      <w:r w:rsidR="00CD778E" w:rsidRPr="006E1F3B">
        <w:rPr>
          <w:rFonts w:ascii="Arial" w:hAnsi="Arial" w:cs="Arial"/>
          <w:b/>
          <w:bCs/>
        </w:rPr>
        <w:t>entro 14 giorni</w:t>
      </w:r>
      <w:r w:rsidR="00CD778E" w:rsidRPr="006E1F3B">
        <w:rPr>
          <w:rFonts w:ascii="Arial" w:hAnsi="Arial" w:cs="Arial"/>
        </w:rPr>
        <w:t xml:space="preserve"> dalla scadenza con una sanzione dello 0,2% giornaliero del valore dell'imposta più interessi giornalieri calcolati sul tasso di riferimento annuale del 2,50%. Il tasso di interesse può essere modificato dal Comune.</w:t>
      </w:r>
    </w:p>
    <w:p w:rsidR="00CD778E" w:rsidRPr="006E1F3B" w:rsidRDefault="00CD778E" w:rsidP="00CD778E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6E1F3B">
        <w:rPr>
          <w:rFonts w:ascii="Arial" w:hAnsi="Arial" w:cs="Arial"/>
          <w:b/>
          <w:bCs/>
        </w:rPr>
        <w:t>Ravvedimento Breve</w:t>
      </w:r>
      <w:r w:rsidRPr="006E1F3B">
        <w:rPr>
          <w:rFonts w:ascii="Arial" w:hAnsi="Arial" w:cs="Arial"/>
        </w:rPr>
        <w:t xml:space="preserve">: </w:t>
      </w:r>
      <w:r w:rsidRPr="006E1F3B">
        <w:rPr>
          <w:rFonts w:ascii="Arial" w:hAnsi="Arial" w:cs="Arial"/>
          <w:b/>
          <w:bCs/>
        </w:rPr>
        <w:t>applicabile dal 15° al 30° giorno di ritardo</w:t>
      </w:r>
      <w:r w:rsidRPr="006E1F3B">
        <w:rPr>
          <w:rFonts w:ascii="Arial" w:hAnsi="Arial" w:cs="Arial"/>
        </w:rPr>
        <w:t>, prevede una sanzione fissa del 3% dell'importo da versare più gli interessi giornalieri calcolati sul tasso di riferimento annuale del 2,50%.</w:t>
      </w:r>
    </w:p>
    <w:p w:rsidR="00CD778E" w:rsidRPr="006E1F3B" w:rsidRDefault="00CD778E" w:rsidP="00CD778E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</w:rPr>
      </w:pPr>
      <w:r w:rsidRPr="006E1F3B">
        <w:rPr>
          <w:rFonts w:ascii="Arial" w:hAnsi="Arial" w:cs="Arial"/>
        </w:rPr>
        <w:t xml:space="preserve">Ravvedimento Lungo: è </w:t>
      </w:r>
      <w:r w:rsidRPr="006E1F3B">
        <w:rPr>
          <w:rFonts w:ascii="Arial" w:hAnsi="Arial" w:cs="Arial"/>
          <w:b/>
          <w:bCs/>
        </w:rPr>
        <w:t>applicabile dopo il 30° giorno di ritardo</w:t>
      </w:r>
      <w:r w:rsidRPr="006E1F3B">
        <w:rPr>
          <w:rFonts w:ascii="Arial" w:hAnsi="Arial" w:cs="Arial"/>
        </w:rPr>
        <w:t>, ma comunque entro i termini di presentazione della dichiarazione relativa all'anno in cui è stata commessa la violazione.</w:t>
      </w:r>
      <w:r w:rsidRPr="006E1F3B">
        <w:rPr>
          <w:rFonts w:ascii="Arial" w:hAnsi="Arial" w:cs="Arial"/>
        </w:rPr>
        <w:br/>
        <w:t>Prevede una sanzione fissa del 3,75% dell'importo da versare più gli interessi giornalieri calcolati sul tasso di riferimento annuale del 2,50% (il tasso può cambiare a seconda del Comune).</w:t>
      </w:r>
    </w:p>
    <w:p w:rsidR="00CD778E" w:rsidRPr="006E1F3B" w:rsidRDefault="00CD778E" w:rsidP="00CD778E">
      <w:pPr>
        <w:pStyle w:val="NormaleWeb"/>
        <w:rPr>
          <w:rFonts w:ascii="Arial" w:hAnsi="Arial" w:cs="Arial"/>
          <w:sz w:val="24"/>
          <w:szCs w:val="24"/>
        </w:rPr>
      </w:pPr>
      <w:r w:rsidRPr="006E1F3B">
        <w:rPr>
          <w:rFonts w:ascii="Arial" w:hAnsi="Arial" w:cs="Arial"/>
          <w:b/>
          <w:bCs/>
          <w:sz w:val="24"/>
          <w:szCs w:val="24"/>
        </w:rPr>
        <w:t>Nota bene per IMU 2012</w:t>
      </w:r>
      <w:r w:rsidRPr="006E1F3B">
        <w:rPr>
          <w:rFonts w:ascii="Arial" w:hAnsi="Arial" w:cs="Arial"/>
          <w:sz w:val="24"/>
          <w:szCs w:val="24"/>
        </w:rPr>
        <w:t xml:space="preserve"> In seguito all'introduzione della scadenza della presentazione della Dichiarazione IMU entro il 30 Giugno per le variazioni 2012, i contribuenti che non hanno pagato l'IMU del 2012 hanno tempo fino al 30 Giugno per poter usufruire del Ravvedimento operoso Lungo (sanzione del 3,75%). Se il pagamento non viene effettuato entro il 30 Giugno è possibile usufruire di una sanzione del 10% se si provvede al pagamento entro il 30 settembre. Se neanche entro il 30 settembre viene effettuato il pagamento scatta la sanzione del 30% oltre agli interessi giornalieri.</w:t>
      </w:r>
    </w:p>
    <w:p w:rsidR="00D905A3" w:rsidRPr="00063F19" w:rsidRDefault="00D905A3" w:rsidP="00D905A3">
      <w:pPr>
        <w:shd w:val="clear" w:color="auto" w:fill="FFFFFF"/>
        <w:spacing w:after="240"/>
        <w:rPr>
          <w:rFonts w:ascii="Arial" w:hAnsi="Arial" w:cs="Arial"/>
        </w:rPr>
      </w:pPr>
    </w:p>
    <w:sectPr w:rsidR="00D905A3" w:rsidRPr="00063F19" w:rsidSect="0010161A"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3E" w:rsidRDefault="00FC703E">
      <w:r>
        <w:separator/>
      </w:r>
    </w:p>
  </w:endnote>
  <w:endnote w:type="continuationSeparator" w:id="0">
    <w:p w:rsidR="00FC703E" w:rsidRDefault="00FC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3E" w:rsidRPr="00943BDC" w:rsidRDefault="00FC703E">
    <w:pPr>
      <w:pStyle w:val="Pidipagina"/>
      <w:rPr>
        <w:rFonts w:ascii="Arial" w:hAnsi="Arial"/>
        <w:sz w:val="15"/>
        <w:szCs w:val="15"/>
      </w:rPr>
    </w:pPr>
    <w:r w:rsidRPr="00943BDC">
      <w:rPr>
        <w:rFonts w:ascii="Arial" w:hAnsi="Arial"/>
        <w:sz w:val="15"/>
        <w:szCs w:val="15"/>
      </w:rPr>
      <w:t>Via Roma, 24 – 12080 Vicoforte – CN - Tel. 0174 563010 –  Fax 0174 563967 - P.I. 00410380042 - E-mail anagrafe.vicoforte@ruparpiemonte.it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3E" w:rsidRPr="00943BDC" w:rsidRDefault="00FC703E">
    <w:pPr>
      <w:pStyle w:val="Pidipagina"/>
      <w:rPr>
        <w:rFonts w:ascii="Arial" w:hAnsi="Arial"/>
        <w:sz w:val="15"/>
        <w:szCs w:val="15"/>
      </w:rPr>
    </w:pPr>
    <w:r w:rsidRPr="00943BDC">
      <w:rPr>
        <w:rFonts w:ascii="Arial" w:hAnsi="Arial"/>
        <w:sz w:val="15"/>
        <w:szCs w:val="15"/>
      </w:rPr>
      <w:t xml:space="preserve">Via Roma, 24 – 12080 Vicoforte – CN - Tel. 0174 563010 –  Fax 0174 563967 - P.I. 00410380042 - E-mail </w:t>
    </w:r>
    <w:r>
      <w:rPr>
        <w:rFonts w:ascii="Arial" w:hAnsi="Arial"/>
        <w:sz w:val="15"/>
        <w:szCs w:val="15"/>
      </w:rPr>
      <w:t>ragioneria.vicoforte@ruparpiemonte.it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3E" w:rsidRDefault="00FC703E">
      <w:r>
        <w:separator/>
      </w:r>
    </w:p>
  </w:footnote>
  <w:footnote w:type="continuationSeparator" w:id="0">
    <w:p w:rsidR="00FC703E" w:rsidRDefault="00FC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3E" w:rsidRDefault="007A6536" w:rsidP="00943BDC">
    <w:pPr>
      <w:pStyle w:val="Intestazione"/>
      <w:ind w:left="1701"/>
      <w:rPr>
        <w:noProof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8.1pt;margin-top:-6.65pt;width:69.6pt;height:88.2pt;z-index:251657728" o:allowincell="f">
          <v:imagedata r:id="rId1" o:title=""/>
          <w10:wrap type="topAndBottom"/>
        </v:shape>
        <o:OLEObject Type="Embed" ProgID="MSPhotoEd.3" ShapeID="_x0000_s1032" DrawAspect="Content" ObjectID="_1432711133" r:id="rId2"/>
      </w:pict>
    </w:r>
  </w:p>
  <w:p w:rsidR="00FC703E" w:rsidRDefault="00FC703E" w:rsidP="00943BDC">
    <w:pPr>
      <w:pStyle w:val="Intestazione"/>
      <w:ind w:left="1418"/>
      <w:jc w:val="center"/>
      <w:rPr>
        <w:rFonts w:ascii="Arial" w:hAnsi="Arial"/>
        <w:b/>
        <w:i/>
        <w:noProof/>
        <w:sz w:val="48"/>
      </w:rPr>
    </w:pPr>
    <w:r>
      <w:rPr>
        <w:rFonts w:ascii="Arial" w:hAnsi="Arial"/>
        <w:b/>
        <w:i/>
        <w:noProof/>
        <w:sz w:val="48"/>
      </w:rPr>
      <w:t>COMUNE DI VICOFORTE</w:t>
    </w:r>
  </w:p>
  <w:p w:rsidR="00FC703E" w:rsidRDefault="00FC703E" w:rsidP="00943BDC">
    <w:pPr>
      <w:pStyle w:val="Intestazione"/>
      <w:ind w:left="1418"/>
      <w:jc w:val="center"/>
      <w:rPr>
        <w:rFonts w:ascii="Arial" w:hAnsi="Arial"/>
        <w:b/>
        <w:noProof/>
        <w:sz w:val="8"/>
      </w:rPr>
    </w:pPr>
  </w:p>
  <w:p w:rsidR="00FC703E" w:rsidRDefault="00FC703E" w:rsidP="00943BDC">
    <w:pPr>
      <w:pStyle w:val="Intestazione"/>
      <w:ind w:left="1418"/>
      <w:jc w:val="center"/>
      <w:rPr>
        <w:rFonts w:ascii="Arial" w:hAnsi="Arial"/>
        <w:i/>
      </w:rPr>
    </w:pPr>
    <w:r>
      <w:rPr>
        <w:rFonts w:ascii="Arial" w:hAnsi="Arial"/>
        <w:i/>
      </w:rPr>
      <w:t>Provincia di Cuneo</w:t>
    </w:r>
  </w:p>
  <w:p w:rsidR="00FC703E" w:rsidRDefault="00FC703E" w:rsidP="00943BDC">
    <w:pPr>
      <w:pStyle w:val="Intestazione"/>
      <w:ind w:left="1418"/>
      <w:jc w:val="center"/>
      <w:rPr>
        <w:rFonts w:ascii="Arial" w:hAnsi="Arial"/>
        <w:i/>
        <w:sz w:val="8"/>
      </w:rPr>
    </w:pPr>
  </w:p>
  <w:p w:rsidR="00FC703E" w:rsidRDefault="00FC703E" w:rsidP="00943BDC">
    <w:pPr>
      <w:pStyle w:val="Intestazione"/>
      <w:ind w:left="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4D"/>
    <w:multiLevelType w:val="multilevel"/>
    <w:tmpl w:val="441E9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71E45"/>
    <w:multiLevelType w:val="multilevel"/>
    <w:tmpl w:val="000A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1352F"/>
    <w:multiLevelType w:val="hybridMultilevel"/>
    <w:tmpl w:val="8A2C539A"/>
    <w:lvl w:ilvl="0" w:tplc="2C74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8B5788"/>
    <w:multiLevelType w:val="hybridMultilevel"/>
    <w:tmpl w:val="AB86B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857D0"/>
    <w:multiLevelType w:val="singleLevel"/>
    <w:tmpl w:val="1CC4D7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30AC7BB1"/>
    <w:multiLevelType w:val="singleLevel"/>
    <w:tmpl w:val="16CCD0EE"/>
    <w:lvl w:ilvl="0">
      <w:start w:val="1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E170D1"/>
    <w:multiLevelType w:val="multilevel"/>
    <w:tmpl w:val="8990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F7E87"/>
    <w:multiLevelType w:val="singleLevel"/>
    <w:tmpl w:val="826874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6C2ACE"/>
    <w:multiLevelType w:val="singleLevel"/>
    <w:tmpl w:val="826874C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4EA4CBC"/>
    <w:multiLevelType w:val="hybridMultilevel"/>
    <w:tmpl w:val="F8E2C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43E46"/>
    <w:multiLevelType w:val="hybridMultilevel"/>
    <w:tmpl w:val="6B76EE7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5D887560"/>
    <w:multiLevelType w:val="hybridMultilevel"/>
    <w:tmpl w:val="5EB00EA2"/>
    <w:lvl w:ilvl="0" w:tplc="7610C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994612"/>
    <w:multiLevelType w:val="hybridMultilevel"/>
    <w:tmpl w:val="17403B54"/>
    <w:lvl w:ilvl="0" w:tplc="C2747A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62BBF"/>
    <w:multiLevelType w:val="hybridMultilevel"/>
    <w:tmpl w:val="FA36A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27B"/>
    <w:rsid w:val="00040C33"/>
    <w:rsid w:val="00040E52"/>
    <w:rsid w:val="00042478"/>
    <w:rsid w:val="000438E6"/>
    <w:rsid w:val="00055993"/>
    <w:rsid w:val="000605A9"/>
    <w:rsid w:val="00063F19"/>
    <w:rsid w:val="0008064C"/>
    <w:rsid w:val="00082C11"/>
    <w:rsid w:val="000903EE"/>
    <w:rsid w:val="000A3607"/>
    <w:rsid w:val="000B3543"/>
    <w:rsid w:val="000B57F2"/>
    <w:rsid w:val="000B6234"/>
    <w:rsid w:val="000E02FE"/>
    <w:rsid w:val="000E3A8F"/>
    <w:rsid w:val="0010161A"/>
    <w:rsid w:val="00106D34"/>
    <w:rsid w:val="00116C92"/>
    <w:rsid w:val="00131FD3"/>
    <w:rsid w:val="001565B4"/>
    <w:rsid w:val="001676F6"/>
    <w:rsid w:val="001951AB"/>
    <w:rsid w:val="001954AD"/>
    <w:rsid w:val="001C0DAD"/>
    <w:rsid w:val="001C1C1B"/>
    <w:rsid w:val="001C2353"/>
    <w:rsid w:val="001C6703"/>
    <w:rsid w:val="001E23D9"/>
    <w:rsid w:val="00214F7E"/>
    <w:rsid w:val="0024135A"/>
    <w:rsid w:val="00245BD5"/>
    <w:rsid w:val="002702C2"/>
    <w:rsid w:val="00290A70"/>
    <w:rsid w:val="002929E2"/>
    <w:rsid w:val="002A31F5"/>
    <w:rsid w:val="002A4887"/>
    <w:rsid w:val="002B0FF8"/>
    <w:rsid w:val="002B44D6"/>
    <w:rsid w:val="002D3DF3"/>
    <w:rsid w:val="002D3EDA"/>
    <w:rsid w:val="003119C6"/>
    <w:rsid w:val="003159F1"/>
    <w:rsid w:val="0034319B"/>
    <w:rsid w:val="003431CB"/>
    <w:rsid w:val="00347894"/>
    <w:rsid w:val="00367405"/>
    <w:rsid w:val="00383823"/>
    <w:rsid w:val="003A41DD"/>
    <w:rsid w:val="003A43C4"/>
    <w:rsid w:val="003B2D69"/>
    <w:rsid w:val="003C095D"/>
    <w:rsid w:val="003C1E75"/>
    <w:rsid w:val="003C600D"/>
    <w:rsid w:val="003E4AD6"/>
    <w:rsid w:val="004136AE"/>
    <w:rsid w:val="00415D1A"/>
    <w:rsid w:val="004350C0"/>
    <w:rsid w:val="004649CD"/>
    <w:rsid w:val="004707A9"/>
    <w:rsid w:val="0048085B"/>
    <w:rsid w:val="004973CA"/>
    <w:rsid w:val="004B1526"/>
    <w:rsid w:val="004B7207"/>
    <w:rsid w:val="004B7BF1"/>
    <w:rsid w:val="004D2ABA"/>
    <w:rsid w:val="004D7333"/>
    <w:rsid w:val="004E3675"/>
    <w:rsid w:val="0052259C"/>
    <w:rsid w:val="0052447A"/>
    <w:rsid w:val="0058294A"/>
    <w:rsid w:val="00585BF3"/>
    <w:rsid w:val="005A7D8C"/>
    <w:rsid w:val="005B5534"/>
    <w:rsid w:val="005C127B"/>
    <w:rsid w:val="005C791D"/>
    <w:rsid w:val="00607F94"/>
    <w:rsid w:val="006100A3"/>
    <w:rsid w:val="00620446"/>
    <w:rsid w:val="006307D9"/>
    <w:rsid w:val="0063127A"/>
    <w:rsid w:val="00632654"/>
    <w:rsid w:val="00646723"/>
    <w:rsid w:val="006754ED"/>
    <w:rsid w:val="00691680"/>
    <w:rsid w:val="006C6B97"/>
    <w:rsid w:val="006D4DC8"/>
    <w:rsid w:val="006E0E70"/>
    <w:rsid w:val="006E1F3B"/>
    <w:rsid w:val="0073699B"/>
    <w:rsid w:val="007462FF"/>
    <w:rsid w:val="0074686E"/>
    <w:rsid w:val="00784098"/>
    <w:rsid w:val="00786C4B"/>
    <w:rsid w:val="00796229"/>
    <w:rsid w:val="007A6536"/>
    <w:rsid w:val="007B37A1"/>
    <w:rsid w:val="007C4B34"/>
    <w:rsid w:val="007C7BF3"/>
    <w:rsid w:val="007D4A5B"/>
    <w:rsid w:val="007E025D"/>
    <w:rsid w:val="007F1FBA"/>
    <w:rsid w:val="00803CDE"/>
    <w:rsid w:val="00807EF4"/>
    <w:rsid w:val="00811B6E"/>
    <w:rsid w:val="0081455D"/>
    <w:rsid w:val="008149B4"/>
    <w:rsid w:val="00827621"/>
    <w:rsid w:val="008345A3"/>
    <w:rsid w:val="008547A7"/>
    <w:rsid w:val="0086757E"/>
    <w:rsid w:val="00867CD7"/>
    <w:rsid w:val="008760CB"/>
    <w:rsid w:val="00876699"/>
    <w:rsid w:val="008B4205"/>
    <w:rsid w:val="008F516C"/>
    <w:rsid w:val="008F54E7"/>
    <w:rsid w:val="00900F5E"/>
    <w:rsid w:val="00904EF6"/>
    <w:rsid w:val="00921EF8"/>
    <w:rsid w:val="00943BDC"/>
    <w:rsid w:val="00947036"/>
    <w:rsid w:val="0095226F"/>
    <w:rsid w:val="00960FDC"/>
    <w:rsid w:val="0096609C"/>
    <w:rsid w:val="009743C8"/>
    <w:rsid w:val="009B50EA"/>
    <w:rsid w:val="009D7F22"/>
    <w:rsid w:val="009F6D7D"/>
    <w:rsid w:val="00A12530"/>
    <w:rsid w:val="00A12B18"/>
    <w:rsid w:val="00A41C07"/>
    <w:rsid w:val="00A54FEB"/>
    <w:rsid w:val="00A62A0B"/>
    <w:rsid w:val="00A65B29"/>
    <w:rsid w:val="00A779DD"/>
    <w:rsid w:val="00A77BD4"/>
    <w:rsid w:val="00A86BE6"/>
    <w:rsid w:val="00AA707D"/>
    <w:rsid w:val="00AC0A0A"/>
    <w:rsid w:val="00AC2AE4"/>
    <w:rsid w:val="00AC69D6"/>
    <w:rsid w:val="00AC71A6"/>
    <w:rsid w:val="00AD7FED"/>
    <w:rsid w:val="00B071FB"/>
    <w:rsid w:val="00B21263"/>
    <w:rsid w:val="00B32D92"/>
    <w:rsid w:val="00B35A3F"/>
    <w:rsid w:val="00B376E5"/>
    <w:rsid w:val="00B3784B"/>
    <w:rsid w:val="00B63B50"/>
    <w:rsid w:val="00B805C7"/>
    <w:rsid w:val="00B807A3"/>
    <w:rsid w:val="00B82202"/>
    <w:rsid w:val="00BC378E"/>
    <w:rsid w:val="00BD7984"/>
    <w:rsid w:val="00BE17B6"/>
    <w:rsid w:val="00C17428"/>
    <w:rsid w:val="00C23086"/>
    <w:rsid w:val="00C24517"/>
    <w:rsid w:val="00C258B3"/>
    <w:rsid w:val="00C46CBF"/>
    <w:rsid w:val="00C62631"/>
    <w:rsid w:val="00C73D17"/>
    <w:rsid w:val="00C77E09"/>
    <w:rsid w:val="00C82CA3"/>
    <w:rsid w:val="00C97018"/>
    <w:rsid w:val="00C97A37"/>
    <w:rsid w:val="00CA42BC"/>
    <w:rsid w:val="00CB0A00"/>
    <w:rsid w:val="00CB7F1E"/>
    <w:rsid w:val="00CC105A"/>
    <w:rsid w:val="00CD778E"/>
    <w:rsid w:val="00CF41EF"/>
    <w:rsid w:val="00D11E9E"/>
    <w:rsid w:val="00D16514"/>
    <w:rsid w:val="00D17D76"/>
    <w:rsid w:val="00D234C9"/>
    <w:rsid w:val="00D34B97"/>
    <w:rsid w:val="00D352F3"/>
    <w:rsid w:val="00D566E8"/>
    <w:rsid w:val="00D905A3"/>
    <w:rsid w:val="00DC25CC"/>
    <w:rsid w:val="00DC476B"/>
    <w:rsid w:val="00DD2DF4"/>
    <w:rsid w:val="00DE7A57"/>
    <w:rsid w:val="00DF1720"/>
    <w:rsid w:val="00DF60C5"/>
    <w:rsid w:val="00E23F8F"/>
    <w:rsid w:val="00E26B36"/>
    <w:rsid w:val="00E37698"/>
    <w:rsid w:val="00E66255"/>
    <w:rsid w:val="00E663A5"/>
    <w:rsid w:val="00EA18DC"/>
    <w:rsid w:val="00EC4D38"/>
    <w:rsid w:val="00ED62D0"/>
    <w:rsid w:val="00EF45F2"/>
    <w:rsid w:val="00F0232C"/>
    <w:rsid w:val="00F136E5"/>
    <w:rsid w:val="00F3205A"/>
    <w:rsid w:val="00F51B69"/>
    <w:rsid w:val="00F8310C"/>
    <w:rsid w:val="00F839F9"/>
    <w:rsid w:val="00FB1C88"/>
    <w:rsid w:val="00FB551C"/>
    <w:rsid w:val="00FC703E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07D9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152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B1526"/>
    <w:pPr>
      <w:keepNext/>
      <w:tabs>
        <w:tab w:val="left" w:pos="1418"/>
        <w:tab w:val="left" w:pos="6096"/>
      </w:tabs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B1526"/>
    <w:pPr>
      <w:keepNext/>
      <w:tabs>
        <w:tab w:val="left" w:pos="1134"/>
        <w:tab w:val="left" w:pos="6379"/>
      </w:tabs>
      <w:ind w:left="142"/>
      <w:outlineLvl w:val="2"/>
    </w:pPr>
  </w:style>
  <w:style w:type="paragraph" w:styleId="Titolo4">
    <w:name w:val="heading 4"/>
    <w:basedOn w:val="Normale"/>
    <w:next w:val="Normale"/>
    <w:qFormat/>
    <w:rsid w:val="004B1526"/>
    <w:pPr>
      <w:keepNext/>
      <w:jc w:val="right"/>
      <w:outlineLvl w:val="3"/>
    </w:pPr>
  </w:style>
  <w:style w:type="paragraph" w:styleId="Titolo5">
    <w:name w:val="heading 5"/>
    <w:basedOn w:val="Normale"/>
    <w:next w:val="Normale"/>
    <w:qFormat/>
    <w:rsid w:val="004B1526"/>
    <w:pPr>
      <w:keepNext/>
      <w:tabs>
        <w:tab w:val="left" w:pos="6379"/>
      </w:tabs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B1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15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B152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B1526"/>
    <w:pPr>
      <w:ind w:left="4248"/>
      <w:jc w:val="both"/>
    </w:pPr>
  </w:style>
  <w:style w:type="paragraph" w:styleId="Corpotesto">
    <w:name w:val="Body Text"/>
    <w:basedOn w:val="Normale"/>
    <w:rsid w:val="004B1526"/>
    <w:pPr>
      <w:tabs>
        <w:tab w:val="left" w:pos="1276"/>
        <w:tab w:val="left" w:pos="6096"/>
      </w:tabs>
    </w:pPr>
  </w:style>
  <w:style w:type="paragraph" w:styleId="Rientrocorpodeltesto2">
    <w:name w:val="Body Text Indent 2"/>
    <w:basedOn w:val="Normale"/>
    <w:rsid w:val="004B1526"/>
    <w:pPr>
      <w:tabs>
        <w:tab w:val="left" w:pos="1134"/>
        <w:tab w:val="left" w:pos="6379"/>
      </w:tabs>
      <w:ind w:left="142"/>
    </w:pPr>
  </w:style>
  <w:style w:type="paragraph" w:styleId="Corpodeltesto2">
    <w:name w:val="Body Text 2"/>
    <w:basedOn w:val="Normale"/>
    <w:rsid w:val="004B1526"/>
    <w:pPr>
      <w:tabs>
        <w:tab w:val="left" w:pos="6379"/>
      </w:tabs>
      <w:jc w:val="both"/>
    </w:pPr>
  </w:style>
  <w:style w:type="paragraph" w:styleId="Testodelblocco">
    <w:name w:val="Block Text"/>
    <w:basedOn w:val="Normale"/>
    <w:rsid w:val="004B1526"/>
    <w:pPr>
      <w:tabs>
        <w:tab w:val="left" w:pos="1701"/>
        <w:tab w:val="left" w:pos="7088"/>
      </w:tabs>
      <w:ind w:left="426" w:right="-568"/>
      <w:jc w:val="center"/>
    </w:pPr>
  </w:style>
  <w:style w:type="character" w:styleId="Collegamentoipertestuale">
    <w:name w:val="Hyperlink"/>
    <w:basedOn w:val="Carpredefinitoparagrafo"/>
    <w:rsid w:val="004B1526"/>
    <w:rPr>
      <w:color w:val="0000FF"/>
      <w:u w:val="single"/>
    </w:rPr>
  </w:style>
  <w:style w:type="character" w:customStyle="1" w:styleId="corpo1">
    <w:name w:val="corpo1"/>
    <w:basedOn w:val="Carpredefinitoparagrafo"/>
    <w:rsid w:val="00BC378E"/>
    <w:rPr>
      <w:rFonts w:ascii="Verdana" w:hAnsi="Verdana" w:hint="default"/>
      <w:strike w:val="0"/>
      <w:dstrike w:val="0"/>
      <w:sz w:val="18"/>
      <w:szCs w:val="18"/>
      <w:u w:val="none"/>
      <w:effect w:val="none"/>
    </w:rPr>
  </w:style>
  <w:style w:type="paragraph" w:styleId="Titolo">
    <w:name w:val="Title"/>
    <w:basedOn w:val="Normale"/>
    <w:qFormat/>
    <w:rsid w:val="00A12B18"/>
    <w:pPr>
      <w:jc w:val="center"/>
    </w:pPr>
    <w:rPr>
      <w:b/>
      <w:bCs/>
    </w:rPr>
  </w:style>
  <w:style w:type="table" w:styleId="Grigliatabella">
    <w:name w:val="Table Grid"/>
    <w:basedOn w:val="Tabellanormale"/>
    <w:rsid w:val="00630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E3A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5A3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Rientrocorpodeltesto1">
    <w:name w:val="Rientro corpo del testo1"/>
    <w:basedOn w:val="Normale"/>
    <w:rsid w:val="00D905A3"/>
    <w:pPr>
      <w:ind w:firstLine="567"/>
      <w:jc w:val="both"/>
    </w:pPr>
    <w:rPr>
      <w:rFonts w:ascii="Book Antiqua" w:hAnsi="Book Antiqua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905A3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semiHidden/>
    <w:rsid w:val="00FB1C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CitazioneHTML">
    <w:name w:val="HTML Cite"/>
    <w:basedOn w:val="Carpredefinitoparagrafo"/>
    <w:uiPriority w:val="99"/>
    <w:unhideWhenUsed/>
    <w:rsid w:val="00116C92"/>
    <w:rPr>
      <w:i w:val="0"/>
      <w:iCs w:val="0"/>
      <w:color w:val="009933"/>
    </w:rPr>
  </w:style>
  <w:style w:type="paragraph" w:styleId="NormaleWeb">
    <w:name w:val="Normal (Web)"/>
    <w:basedOn w:val="Normale"/>
    <w:uiPriority w:val="99"/>
    <w:unhideWhenUsed/>
    <w:rsid w:val="00CD778E"/>
    <w:pPr>
      <w:spacing w:before="45" w:after="75"/>
    </w:pPr>
    <w:rPr>
      <w:sz w:val="18"/>
      <w:szCs w:val="18"/>
    </w:rPr>
  </w:style>
  <w:style w:type="character" w:customStyle="1" w:styleId="red1">
    <w:name w:val="red1"/>
    <w:basedOn w:val="Carpredefinitoparagrafo"/>
    <w:rsid w:val="00CD778E"/>
    <w:rPr>
      <w:color w:val="FF0000"/>
    </w:rPr>
  </w:style>
  <w:style w:type="character" w:styleId="Enfasigrassetto">
    <w:name w:val="Strong"/>
    <w:basedOn w:val="Carpredefinitoparagrafo"/>
    <w:uiPriority w:val="22"/>
    <w:qFormat/>
    <w:rsid w:val="00CD77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4652">
                          <w:marLeft w:val="0"/>
                          <w:marRight w:val="0"/>
                          <w:marTop w:val="140"/>
                          <w:marBottom w:val="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8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5436">
                          <w:marLeft w:val="0"/>
                          <w:marRight w:val="0"/>
                          <w:marTop w:val="140"/>
                          <w:marBottom w:val="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ianti.CDV\Dati%20applicazioni\Microsoft\Modelli\Modello_Carta_Intestata_Demografic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5A685-0757-4CE2-A29B-E73DA36F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Modello_Carta_Intestata_Demografici.dot</Template>
  <TotalTime>38</TotalTime>
  <Pages>4</Pages>
  <Words>1038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Vicoforte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Grazia Gianti</dc:creator>
  <cp:keywords/>
  <cp:lastModifiedBy>mvinai</cp:lastModifiedBy>
  <cp:revision>13</cp:revision>
  <cp:lastPrinted>2013-06-14T07:52:00Z</cp:lastPrinted>
  <dcterms:created xsi:type="dcterms:W3CDTF">2013-06-14T07:30:00Z</dcterms:created>
  <dcterms:modified xsi:type="dcterms:W3CDTF">2013-06-14T08:32:00Z</dcterms:modified>
</cp:coreProperties>
</file>